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B" w:rsidRPr="00306A49" w:rsidRDefault="00BE7F8B" w:rsidP="00BE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77132B3F" wp14:editId="356F03C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F8B" w:rsidRPr="00306A49" w:rsidRDefault="00BE7F8B" w:rsidP="00BE7F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E7F8B" w:rsidRDefault="00BE7F8B" w:rsidP="00BE7F8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E7F8B" w:rsidRDefault="00BE7F8B" w:rsidP="00BE7F8B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E7F8B" w:rsidRPr="00306A49" w:rsidRDefault="00BE7F8B" w:rsidP="00BE7F8B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BE7F8B" w:rsidRPr="00306A49" w:rsidRDefault="00BE7F8B" w:rsidP="00BE7F8B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BE7F8B" w:rsidRPr="00306A49" w:rsidRDefault="00BE7F8B" w:rsidP="00BE7F8B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BE7F8B" w:rsidRPr="00306A49" w:rsidRDefault="00BE7F8B" w:rsidP="00BE7F8B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E7F8B" w:rsidRPr="005E0CE2" w:rsidRDefault="00BE7F8B" w:rsidP="00BE7F8B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BE7F8B" w:rsidRPr="00306A49" w:rsidRDefault="00BE7F8B" w:rsidP="00BE7F8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E7F8B" w:rsidRPr="00306A49" w:rsidRDefault="00BE7F8B" w:rsidP="00BE7F8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1F0">
        <w:rPr>
          <w:rFonts w:ascii="Times New Roman" w:hAnsi="Times New Roman"/>
          <w:sz w:val="28"/>
          <w:szCs w:val="28"/>
          <w:lang w:eastAsia="ru-RU"/>
        </w:rPr>
        <w:t>13.05.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790D2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           № </w:t>
      </w:r>
      <w:r w:rsidR="005C41F0">
        <w:rPr>
          <w:rFonts w:ascii="Times New Roman" w:hAnsi="Times New Roman"/>
          <w:sz w:val="28"/>
          <w:szCs w:val="28"/>
          <w:lang w:eastAsia="ru-RU"/>
        </w:rPr>
        <w:t>125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BE7F8B" w:rsidRPr="00306A49" w:rsidRDefault="00BE7F8B" w:rsidP="00BE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6F7B" w:rsidRPr="00F96F7B" w:rsidRDefault="00F96F7B" w:rsidP="006B23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6F7B">
        <w:rPr>
          <w:rFonts w:ascii="Times New Roman" w:hAnsi="Times New Roman"/>
          <w:b/>
          <w:i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</w:t>
      </w:r>
      <w:r w:rsidR="006B234C" w:rsidRPr="006B234C">
        <w:rPr>
          <w:rFonts w:ascii="Times New Roman" w:hAnsi="Times New Roman"/>
          <w:b/>
          <w:i/>
          <w:sz w:val="28"/>
          <w:szCs w:val="28"/>
        </w:rPr>
        <w:t>Калтанского городского округа</w:t>
      </w:r>
    </w:p>
    <w:p w:rsidR="002A47D3" w:rsidRPr="002A47D3" w:rsidRDefault="002A47D3" w:rsidP="002A47D3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E7F8B" w:rsidRPr="005C41F0" w:rsidRDefault="00BE7F8B" w:rsidP="00BE7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41F0">
        <w:rPr>
          <w:rFonts w:ascii="Times New Roman" w:hAnsi="Times New Roman"/>
          <w:sz w:val="28"/>
          <w:szCs w:val="28"/>
        </w:rPr>
        <w:t xml:space="preserve">В соответствии </w:t>
      </w:r>
      <w:r w:rsidRPr="005C41F0"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 ФЗ «Об общих принципах организации местного самоуправления в Российской Федерации»,</w:t>
      </w:r>
      <w:r w:rsidRPr="005C41F0">
        <w:rPr>
          <w:rFonts w:ascii="Times New Roman" w:hAnsi="Times New Roman"/>
          <w:sz w:val="28"/>
          <w:szCs w:val="28"/>
        </w:rPr>
        <w:t xml:space="preserve"> пп.7 части 1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</w:t>
      </w:r>
      <w:proofErr w:type="gramEnd"/>
      <w:r w:rsidRPr="005C41F0">
        <w:rPr>
          <w:rFonts w:ascii="Times New Roman" w:hAnsi="Times New Roman"/>
          <w:sz w:val="28"/>
          <w:szCs w:val="28"/>
        </w:rPr>
        <w:t xml:space="preserve">, причиняемого тяжеловесными транспортными средствами, об изменении и признании утратившим силу некоторых актов Правительства Российской Федерации», </w:t>
      </w:r>
      <w:hyperlink r:id="rId8" w:history="1">
        <w:r w:rsidRPr="005C41F0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5C41F0">
        <w:rPr>
          <w:rFonts w:ascii="Times New Roman" w:eastAsia="Times New Roman" w:hAnsi="Times New Roman"/>
          <w:sz w:val="28"/>
          <w:szCs w:val="28"/>
          <w:lang w:eastAsia="ru-RU"/>
        </w:rPr>
        <w:t xml:space="preserve"> Калтанского городского округа Кемеровской области-Кузбасса</w:t>
      </w:r>
      <w:r w:rsidRPr="005C41F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6B234C" w:rsidRPr="005C41F0" w:rsidRDefault="006B234C" w:rsidP="000726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C41F0">
        <w:rPr>
          <w:rFonts w:ascii="Times New Roman" w:hAnsi="Times New Roman"/>
          <w:sz w:val="28"/>
          <w:szCs w:val="28"/>
        </w:rPr>
        <w:t xml:space="preserve">1. Установить </w:t>
      </w:r>
      <w:hyperlink w:anchor="Par33" w:history="1">
        <w:r w:rsidRPr="005C41F0">
          <w:rPr>
            <w:rFonts w:ascii="Times New Roman" w:hAnsi="Times New Roman"/>
            <w:sz w:val="28"/>
            <w:szCs w:val="28"/>
          </w:rPr>
          <w:t>размер</w:t>
        </w:r>
      </w:hyperlink>
      <w:r w:rsidRPr="005C41F0">
        <w:rPr>
          <w:rFonts w:ascii="Times New Roman" w:hAnsi="Times New Roman"/>
          <w:sz w:val="28"/>
          <w:szCs w:val="28"/>
        </w:rPr>
        <w:t xml:space="preserve">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</w:t>
      </w:r>
      <w:r w:rsidR="00FF7ABE" w:rsidRPr="005C41F0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5C41F0">
        <w:rPr>
          <w:rFonts w:ascii="Times New Roman" w:hAnsi="Times New Roman"/>
          <w:sz w:val="28"/>
          <w:szCs w:val="28"/>
        </w:rPr>
        <w:t>, в соответствии с показателями согласно приложению к настоящему Постановлению.</w:t>
      </w:r>
    </w:p>
    <w:p w:rsidR="00585DBF" w:rsidRPr="005C41F0" w:rsidRDefault="00585DBF" w:rsidP="00585D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41F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C41F0">
        <w:rPr>
          <w:rFonts w:ascii="Times New Roman" w:hAnsi="Times New Roman"/>
          <w:color w:val="000000"/>
          <w:sz w:val="28"/>
          <w:szCs w:val="28"/>
          <w:lang w:eastAsia="ru-RU"/>
        </w:rPr>
        <w:t>Начальнику отдела организационной и кадровой работы (Верещагина Т.А.) опубликовать настоящее постановление в информационно-телекоммуникационной сети «Интернет» на официальном сайте администрации Калтанского городского округа.</w:t>
      </w:r>
    </w:p>
    <w:p w:rsidR="00F4544C" w:rsidRPr="005C41F0" w:rsidRDefault="00F4544C" w:rsidP="00585DB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1F0">
        <w:rPr>
          <w:rFonts w:ascii="Times New Roman" w:hAnsi="Times New Roman"/>
          <w:color w:val="000000"/>
          <w:sz w:val="28"/>
          <w:szCs w:val="28"/>
        </w:rPr>
        <w:tab/>
        <w:t xml:space="preserve">3. МАУ «Пресс-Центр г. Калтан» (В.Н. </w:t>
      </w:r>
      <w:proofErr w:type="spellStart"/>
      <w:r w:rsidRPr="005C41F0">
        <w:rPr>
          <w:rFonts w:ascii="Times New Roman" w:hAnsi="Times New Roman"/>
          <w:color w:val="000000"/>
          <w:sz w:val="28"/>
          <w:szCs w:val="28"/>
        </w:rPr>
        <w:t>Беспальчук</w:t>
      </w:r>
      <w:proofErr w:type="spellEnd"/>
      <w:r w:rsidRPr="005C41F0">
        <w:rPr>
          <w:rFonts w:ascii="Times New Roman" w:hAnsi="Times New Roman"/>
          <w:color w:val="000000"/>
          <w:sz w:val="28"/>
          <w:szCs w:val="28"/>
        </w:rPr>
        <w:t>) опубликовать настоящее постановление в газете «</w:t>
      </w:r>
      <w:proofErr w:type="spellStart"/>
      <w:r w:rsidRPr="005C41F0">
        <w:rPr>
          <w:rFonts w:ascii="Times New Roman" w:hAnsi="Times New Roman"/>
          <w:color w:val="000000"/>
          <w:sz w:val="28"/>
          <w:szCs w:val="28"/>
        </w:rPr>
        <w:t>Калтанский</w:t>
      </w:r>
      <w:proofErr w:type="spellEnd"/>
      <w:r w:rsidRPr="005C41F0"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F4544C" w:rsidRPr="005C41F0" w:rsidRDefault="00F4544C" w:rsidP="00F4544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1F0">
        <w:rPr>
          <w:rFonts w:ascii="Times New Roman" w:hAnsi="Times New Roman"/>
          <w:color w:val="000000"/>
          <w:sz w:val="28"/>
          <w:szCs w:val="28"/>
        </w:rPr>
        <w:tab/>
        <w:t xml:space="preserve">4. Постановление вступает в силу после его официального опубликования. </w:t>
      </w:r>
    </w:p>
    <w:p w:rsidR="00F4544C" w:rsidRPr="005C41F0" w:rsidRDefault="00F4544C" w:rsidP="00F4544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1F0"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proofErr w:type="gramStart"/>
      <w:r w:rsidRPr="005C41F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C41F0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первого заместителя главы Калтанского городского округа по ЖКХ </w:t>
      </w:r>
      <w:proofErr w:type="spellStart"/>
      <w:r w:rsidRPr="005C41F0">
        <w:rPr>
          <w:rFonts w:ascii="Times New Roman" w:hAnsi="Times New Roman"/>
          <w:color w:val="000000"/>
          <w:sz w:val="28"/>
          <w:szCs w:val="28"/>
        </w:rPr>
        <w:t>Шайхелисламову</w:t>
      </w:r>
      <w:proofErr w:type="spellEnd"/>
      <w:r w:rsidRPr="005C41F0">
        <w:rPr>
          <w:rFonts w:ascii="Times New Roman" w:hAnsi="Times New Roman"/>
          <w:color w:val="000000"/>
          <w:sz w:val="28"/>
          <w:szCs w:val="28"/>
        </w:rPr>
        <w:t xml:space="preserve"> Л.А.</w:t>
      </w:r>
    </w:p>
    <w:p w:rsidR="005C41F0" w:rsidRDefault="005C41F0" w:rsidP="00F2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32B8" w:rsidRPr="005C41F0" w:rsidRDefault="00F232B8" w:rsidP="00F2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1F0">
        <w:rPr>
          <w:rFonts w:ascii="Times New Roman" w:hAnsi="Times New Roman"/>
          <w:b/>
          <w:sz w:val="28"/>
          <w:szCs w:val="28"/>
        </w:rPr>
        <w:t xml:space="preserve">Глава Калтанского </w:t>
      </w:r>
    </w:p>
    <w:p w:rsidR="00F232B8" w:rsidRPr="005C41F0" w:rsidRDefault="00F232B8" w:rsidP="00F2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1F0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                     И.Ф. Голдинов    </w:t>
      </w:r>
    </w:p>
    <w:p w:rsidR="003012AF" w:rsidRPr="003012AF" w:rsidRDefault="003012AF" w:rsidP="00B32D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3012AF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3170E4" w:rsidRDefault="003012AF" w:rsidP="00B32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eastAsiaTheme="minorHAnsi" w:hAnsi="Times New Roman"/>
          <w:sz w:val="28"/>
          <w:szCs w:val="28"/>
        </w:rPr>
        <w:t xml:space="preserve">к </w:t>
      </w:r>
      <w:r w:rsidR="003170E4">
        <w:rPr>
          <w:rFonts w:ascii="Times New Roman" w:eastAsiaTheme="minorHAnsi" w:hAnsi="Times New Roman"/>
          <w:sz w:val="28"/>
          <w:szCs w:val="28"/>
        </w:rPr>
        <w:t>п</w:t>
      </w:r>
      <w:r w:rsidRPr="003012AF">
        <w:rPr>
          <w:rFonts w:ascii="Times New Roman" w:eastAsiaTheme="minorHAnsi" w:hAnsi="Times New Roman"/>
          <w:sz w:val="28"/>
          <w:szCs w:val="28"/>
        </w:rPr>
        <w:t>остановлению</w:t>
      </w:r>
      <w:r w:rsidR="003170E4">
        <w:rPr>
          <w:rFonts w:ascii="Times New Roman" w:eastAsiaTheme="minorHAnsi" w:hAnsi="Times New Roman"/>
          <w:sz w:val="28"/>
          <w:szCs w:val="28"/>
        </w:rPr>
        <w:t xml:space="preserve"> </w:t>
      </w:r>
      <w:r w:rsidR="00B32DB0" w:rsidRPr="00FA287B">
        <w:rPr>
          <w:rFonts w:ascii="Times New Roman" w:hAnsi="Times New Roman"/>
          <w:sz w:val="28"/>
          <w:szCs w:val="28"/>
        </w:rPr>
        <w:t>администрации</w:t>
      </w:r>
    </w:p>
    <w:p w:rsidR="003012AF" w:rsidRPr="003012AF" w:rsidRDefault="00B32DB0" w:rsidP="00B32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A287B">
        <w:rPr>
          <w:rFonts w:ascii="Times New Roman" w:hAnsi="Times New Roman"/>
          <w:sz w:val="28"/>
          <w:szCs w:val="28"/>
        </w:rPr>
        <w:t>Калтанского городского округа</w:t>
      </w:r>
    </w:p>
    <w:p w:rsidR="003012AF" w:rsidRPr="003012AF" w:rsidRDefault="003012AF" w:rsidP="00B32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012AF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5C41F0">
        <w:rPr>
          <w:rFonts w:ascii="Times New Roman" w:eastAsiaTheme="minorHAnsi" w:hAnsi="Times New Roman"/>
          <w:sz w:val="28"/>
          <w:szCs w:val="28"/>
        </w:rPr>
        <w:t>13.05.</w:t>
      </w:r>
      <w:r w:rsidR="00585DBF">
        <w:rPr>
          <w:rFonts w:ascii="Times New Roman" w:eastAsiaTheme="minorHAnsi" w:hAnsi="Times New Roman"/>
          <w:sz w:val="28"/>
          <w:szCs w:val="28"/>
        </w:rPr>
        <w:t>2024</w:t>
      </w:r>
      <w:r w:rsidRPr="003012AF">
        <w:rPr>
          <w:rFonts w:ascii="Times New Roman" w:eastAsiaTheme="minorHAnsi" w:hAnsi="Times New Roman"/>
          <w:sz w:val="28"/>
          <w:szCs w:val="28"/>
        </w:rPr>
        <w:t xml:space="preserve"> г. </w:t>
      </w:r>
      <w:r w:rsidR="006A40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12AF">
        <w:rPr>
          <w:rFonts w:ascii="Times New Roman" w:eastAsiaTheme="minorHAnsi" w:hAnsi="Times New Roman"/>
          <w:sz w:val="28"/>
          <w:szCs w:val="28"/>
        </w:rPr>
        <w:t xml:space="preserve">№ </w:t>
      </w:r>
      <w:r w:rsidR="005C41F0">
        <w:rPr>
          <w:rFonts w:ascii="Times New Roman" w:eastAsiaTheme="minorHAnsi" w:hAnsi="Times New Roman"/>
          <w:sz w:val="28"/>
          <w:szCs w:val="28"/>
        </w:rPr>
        <w:t>125</w:t>
      </w:r>
      <w:r w:rsidR="00585DBF">
        <w:rPr>
          <w:rFonts w:ascii="Times New Roman" w:eastAsiaTheme="minorHAnsi" w:hAnsi="Times New Roman"/>
          <w:sz w:val="28"/>
          <w:szCs w:val="28"/>
        </w:rPr>
        <w:t>-п</w:t>
      </w:r>
    </w:p>
    <w:p w:rsidR="0085799A" w:rsidRPr="003012AF" w:rsidRDefault="0085799A" w:rsidP="00B32D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highlight w:val="yellow"/>
        </w:rPr>
      </w:pPr>
      <w:bookmarkStart w:id="0" w:name="_GoBack"/>
      <w:bookmarkEnd w:id="0"/>
    </w:p>
    <w:p w:rsidR="003012AF" w:rsidRPr="003012AF" w:rsidRDefault="003012AF" w:rsidP="00593A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3012AF">
        <w:rPr>
          <w:rFonts w:ascii="Times New Roman" w:eastAsiaTheme="minorHAnsi" w:hAnsi="Times New Roman"/>
          <w:b/>
          <w:bCs/>
          <w:sz w:val="28"/>
          <w:szCs w:val="28"/>
        </w:rPr>
        <w:t xml:space="preserve">Исходные значения размера вреда от превышения </w:t>
      </w:r>
      <w:proofErr w:type="gramStart"/>
      <w:r w:rsidRPr="003012AF">
        <w:rPr>
          <w:rFonts w:ascii="Times New Roman" w:eastAsiaTheme="minorHAnsi" w:hAnsi="Times New Roman"/>
          <w:b/>
          <w:bCs/>
          <w:sz w:val="28"/>
          <w:szCs w:val="28"/>
        </w:rPr>
        <w:t>допустимых</w:t>
      </w:r>
      <w:proofErr w:type="gramEnd"/>
    </w:p>
    <w:p w:rsidR="003012AF" w:rsidRPr="003012AF" w:rsidRDefault="003012AF" w:rsidP="0059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012AF">
        <w:rPr>
          <w:rFonts w:ascii="Times New Roman" w:eastAsiaTheme="minorHAnsi" w:hAnsi="Times New Roman"/>
          <w:b/>
          <w:bCs/>
          <w:sz w:val="28"/>
          <w:szCs w:val="28"/>
        </w:rPr>
        <w:t>нагрузок на каждую ось транспортного средства и постоянные</w:t>
      </w:r>
    </w:p>
    <w:p w:rsidR="003012AF" w:rsidRPr="003012AF" w:rsidRDefault="003012AF" w:rsidP="0059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012AF">
        <w:rPr>
          <w:rFonts w:ascii="Times New Roman" w:eastAsiaTheme="minorHAnsi" w:hAnsi="Times New Roman"/>
          <w:b/>
          <w:bCs/>
          <w:sz w:val="28"/>
          <w:szCs w:val="28"/>
        </w:rPr>
        <w:t>коэффициенты для автомобильных дорог общего пользования</w:t>
      </w:r>
    </w:p>
    <w:p w:rsidR="003012AF" w:rsidRPr="003012AF" w:rsidRDefault="003012AF" w:rsidP="00593A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3012AF">
        <w:rPr>
          <w:rFonts w:ascii="Times New Roman" w:eastAsiaTheme="minorHAnsi" w:hAnsi="Times New Roman"/>
          <w:b/>
          <w:bCs/>
          <w:sz w:val="28"/>
          <w:szCs w:val="28"/>
        </w:rPr>
        <w:t xml:space="preserve">местного значения </w:t>
      </w:r>
      <w:r w:rsidR="00B32DB0" w:rsidRPr="00593A75">
        <w:rPr>
          <w:rFonts w:ascii="Times New Roman" w:eastAsiaTheme="minorHAnsi" w:hAnsi="Times New Roman"/>
          <w:b/>
          <w:bCs/>
          <w:sz w:val="28"/>
          <w:szCs w:val="28"/>
        </w:rPr>
        <w:t>Калтанского городского округа</w:t>
      </w:r>
    </w:p>
    <w:p w:rsidR="003012AF" w:rsidRPr="003012AF" w:rsidRDefault="003012AF" w:rsidP="00B32D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8"/>
        <w:gridCol w:w="2129"/>
        <w:gridCol w:w="2129"/>
        <w:gridCol w:w="2137"/>
      </w:tblGrid>
      <w:tr w:rsidR="003012AF" w:rsidRPr="003012AF" w:rsidTr="003012AF"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3012AF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исх.ось</w:t>
            </w:r>
            <w:proofErr w:type="spellEnd"/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, руб./100 км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Постоянные коэффициенты</w:t>
            </w:r>
          </w:p>
        </w:tc>
      </w:tr>
      <w:tr w:rsidR="003012AF" w:rsidRPr="003012AF" w:rsidTr="003012AF"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b</w:t>
            </w:r>
          </w:p>
        </w:tc>
      </w:tr>
      <w:tr w:rsidR="003012AF" w:rsidRPr="003012AF" w:rsidTr="003012AF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8500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7,3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0,27</w:t>
            </w:r>
          </w:p>
        </w:tc>
      </w:tr>
      <w:tr w:rsidR="003012AF" w:rsidRPr="003012AF" w:rsidTr="003012AF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1840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37,7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2,4</w:t>
            </w:r>
          </w:p>
        </w:tc>
      </w:tr>
      <w:tr w:rsidR="003012AF" w:rsidRPr="003012AF" w:rsidTr="003012AF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11,5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840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39,5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AF" w:rsidRPr="003012AF" w:rsidRDefault="003012AF" w:rsidP="00B32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12AF">
              <w:rPr>
                <w:rFonts w:ascii="Times New Roman" w:eastAsiaTheme="minorHAnsi" w:hAnsi="Times New Roman"/>
                <w:sz w:val="28"/>
                <w:szCs w:val="28"/>
              </w:rPr>
              <w:t>2,7</w:t>
            </w:r>
          </w:p>
        </w:tc>
      </w:tr>
    </w:tbl>
    <w:p w:rsidR="003012AF" w:rsidRPr="003012AF" w:rsidRDefault="003012AF" w:rsidP="00B3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2AF" w:rsidRPr="003012AF" w:rsidRDefault="003012AF" w:rsidP="00B32D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Размер вреда, причиняемого тяжеловесными транспортными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 xml:space="preserve">средствами при движении таких транспортных средств по автомобильным дорогам общего пользования местного значения </w:t>
      </w:r>
      <w:r w:rsidR="00502C88" w:rsidRPr="00502C88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>, рассчитанным под осевую нагрузку 6 тс, от превышения  допустимых нагрузок на каждую ось транспортного средства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(рублей на 100 км)</w:t>
      </w:r>
    </w:p>
    <w:p w:rsidR="003012AF" w:rsidRPr="003012AF" w:rsidRDefault="003012AF" w:rsidP="00B32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3"/>
        <w:gridCol w:w="3096"/>
        <w:gridCol w:w="3094"/>
      </w:tblGrid>
      <w:tr w:rsidR="003012AF" w:rsidRPr="003012AF" w:rsidTr="003012AF"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Размер вреда при превышении фактических нагрузок на каждую ось транспортного средства над допустимыми</w:t>
            </w:r>
          </w:p>
        </w:tc>
      </w:tr>
      <w:tr w:rsidR="003012AF" w:rsidRPr="003012AF" w:rsidTr="003012AF"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для дорог с одеждой капитального и облегченного типа, в том числе для зимнего периода года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для дорог с одеждой переходного типа, в том числе для зимнего периода года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свыше 2 до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6180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3005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6202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3022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6234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6274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3064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6322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3086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7 (включительно) до 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6379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3109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6443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3134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6515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3159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6596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3184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6683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3211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6779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3237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6882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3265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6993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3293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7111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3321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7236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3350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7369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7510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3409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7658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3439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7813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3469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7975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8145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3531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8322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3563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8506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3595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8698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3627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8897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3659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9102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3692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9315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3725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9535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3759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9762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3792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9997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3826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10238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3860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10486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3895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10742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3929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35 (включительно) до 36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11004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3964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11273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11549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4035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11833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4071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12123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4106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12420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4143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12724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4179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13035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4215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13353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4252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13677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4289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14009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4326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14347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4363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14692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4401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15044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4439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15403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4477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15769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4515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16141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4553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16521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4591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16907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4630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17299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4669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17699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4708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18105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4747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18518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4786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18938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4826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19364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4865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рассчитывается по формулам, приведенным в Методике</w:t>
            </w:r>
          </w:p>
        </w:tc>
      </w:tr>
    </w:tbl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251"/>
      <w:bookmarkEnd w:id="1"/>
      <w:r w:rsidRPr="003012AF">
        <w:rPr>
          <w:rFonts w:ascii="Times New Roman" w:hAnsi="Times New Roman"/>
          <w:sz w:val="28"/>
          <w:szCs w:val="28"/>
        </w:rPr>
        <w:t xml:space="preserve">&lt;*&gt; Размер вреда, причиняемого тяжеловесными транспортными средствами при движении таких транспортных средств по автомобильным дорогам общего </w:t>
      </w:r>
      <w:r w:rsidRPr="003012AF">
        <w:rPr>
          <w:rFonts w:ascii="Times New Roman" w:hAnsi="Times New Roman"/>
          <w:sz w:val="28"/>
          <w:szCs w:val="28"/>
        </w:rPr>
        <w:lastRenderedPageBreak/>
        <w:t xml:space="preserve">пользования местного значения </w:t>
      </w:r>
      <w:r w:rsidR="004C2D1B" w:rsidRPr="004C2D1B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 xml:space="preserve">, рассчитанным под осевую нагрузку 6 тс, от превышения допустимых нагрузок на каждую ось транспортного средства определяется в соответствии </w:t>
      </w:r>
      <w:r w:rsidRPr="003012A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3012A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методикой</w:t>
        </w:r>
      </w:hyperlink>
      <w:r w:rsidRPr="003012AF">
        <w:rPr>
          <w:rFonts w:ascii="Times New Roman" w:hAnsi="Times New Roman"/>
          <w:sz w:val="28"/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№ 67 (далее - Методика).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Размер вреда, причиняемого тяжеловесными транспортными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средствами при движении таких транспортных средств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по автомобильным дорогам общего пользования местного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 xml:space="preserve">значения </w:t>
      </w:r>
      <w:r w:rsidR="00593A75" w:rsidRPr="00593A75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>,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рассчитанным под осевую нагрузку 10 тс, от превышения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допустимых нагрузок на каждую ось транспортного средства &lt;*&gt;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(рублей на 100 км)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3"/>
        <w:gridCol w:w="3096"/>
        <w:gridCol w:w="3094"/>
      </w:tblGrid>
      <w:tr w:rsidR="003012AF" w:rsidRPr="003012AF" w:rsidTr="003012AF"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Размер вреда при превышении фактических нагрузок на каждую ось транспортного средства над допустимыми</w:t>
            </w:r>
          </w:p>
        </w:tc>
      </w:tr>
      <w:tr w:rsidR="003012AF" w:rsidRPr="003012AF" w:rsidTr="003012AF"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для дорог с одеждой капитального и облегченного типа, в том числе для зимнего периода года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для дорог с одеждой переходного типа, в том числе для зимнего периода года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свыше 2 до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1369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1396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1430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1470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1571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1631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1772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1851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1938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14 (включительно) до 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2129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2234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2345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2462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2586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2715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2851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2993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3295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3455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1029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1048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3792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3970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1087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4154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1106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4344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4540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4741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1167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4948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5162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1207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5381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1228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5606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1249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5837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1270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6073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1291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6316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1312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6564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1333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6818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1355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42 (включительно) до 43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7077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1376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7343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1398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7614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1420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7891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1441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8174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1464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8462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1486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8756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1508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9056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9361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9673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1575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9989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1598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10312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1621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10640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1644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10974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1667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11313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1690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11658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1713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12009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1736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12365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1760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рассчитывается по формулам, приведенным в Методике</w:t>
            </w:r>
          </w:p>
        </w:tc>
      </w:tr>
    </w:tbl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 xml:space="preserve">Размер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</w:t>
      </w:r>
      <w:r w:rsidR="004C2D1B" w:rsidRPr="004C2D1B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 xml:space="preserve">, рассчитанным под осевую нагрузку 10 тс, от превышения допустимых нагрузок на каждую ось транспортного средства определяется в соответствии с </w:t>
      </w:r>
      <w:hyperlink r:id="rId10" w:history="1">
        <w:r w:rsidRPr="003012A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Методикой</w:t>
        </w:r>
      </w:hyperlink>
      <w:r w:rsidRPr="003012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Размер вреда, причиняемого тяжеловесными транспортными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средствами при движении таких транспортных средств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по автомобильным дорогам общего пользования местного</w:t>
      </w:r>
      <w:r w:rsidR="004C2D1B">
        <w:rPr>
          <w:rFonts w:ascii="Times New Roman" w:hAnsi="Times New Roman"/>
          <w:sz w:val="28"/>
          <w:szCs w:val="28"/>
        </w:rPr>
        <w:t xml:space="preserve"> </w:t>
      </w:r>
      <w:r w:rsidRPr="003012AF">
        <w:rPr>
          <w:rFonts w:ascii="Times New Roman" w:hAnsi="Times New Roman"/>
          <w:sz w:val="28"/>
          <w:szCs w:val="28"/>
        </w:rPr>
        <w:t xml:space="preserve">значения </w:t>
      </w:r>
      <w:r w:rsidR="00593A75" w:rsidRPr="004C2D1B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>, рассчитанным под осевую нагрузку 11,5 тс,</w:t>
      </w:r>
      <w:r w:rsidR="004C2D1B">
        <w:rPr>
          <w:rFonts w:ascii="Times New Roman" w:hAnsi="Times New Roman"/>
          <w:sz w:val="28"/>
          <w:szCs w:val="28"/>
        </w:rPr>
        <w:t xml:space="preserve"> </w:t>
      </w:r>
      <w:r w:rsidRPr="003012AF">
        <w:rPr>
          <w:rFonts w:ascii="Times New Roman" w:hAnsi="Times New Roman"/>
          <w:sz w:val="28"/>
          <w:szCs w:val="28"/>
        </w:rPr>
        <w:t xml:space="preserve">от превышения допустимых нагрузок на каждую ось транспортного средства </w:t>
      </w:r>
    </w:p>
    <w:p w:rsidR="003012AF" w:rsidRPr="003012AF" w:rsidRDefault="003012AF" w:rsidP="00B32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(рублей на 100 км)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3"/>
        <w:gridCol w:w="3096"/>
        <w:gridCol w:w="3094"/>
      </w:tblGrid>
      <w:tr w:rsidR="003012AF" w:rsidRPr="003012AF" w:rsidTr="003012AF"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Размер вреда при превышении фактических нагрузок на каждую ось транспортного средства над допустимыми</w:t>
            </w:r>
          </w:p>
        </w:tc>
      </w:tr>
      <w:tr w:rsidR="003012AF" w:rsidRPr="003012AF" w:rsidTr="003012AF"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для дорог с одеждой капитального и облегченного типа, в том числе для зимнего периода года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для дорог с одеждой переходного типа, в том числе для зимнего периода года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свыше 2 до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897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1095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1237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25 (включительно) до 26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1288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1396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1453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1512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1573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1766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1835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1905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2051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2126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2204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2284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2365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2448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2533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2620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2709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2799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2891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2986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3082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3179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3279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3380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53 (включительно) до 54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3484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3589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3696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3804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3915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4027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4141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рассчитывается по формулам, приведенным в Методике</w:t>
            </w:r>
          </w:p>
        </w:tc>
      </w:tr>
    </w:tbl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240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 xml:space="preserve">Размер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</w:t>
      </w:r>
      <w:r w:rsidR="00240CF1" w:rsidRPr="00240CF1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 xml:space="preserve">, рассчитанным под осевую нагрузку 11,5 тс, от превышения допустимых нагрузок на каждую ось транспортного средства определяется в соответствии с </w:t>
      </w:r>
      <w:hyperlink r:id="rId11" w:history="1">
        <w:r w:rsidRPr="003012A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Методикой</w:t>
        </w:r>
      </w:hyperlink>
      <w:r w:rsidRPr="003012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Размер вреда, причиняемого тяжеловесными транспортными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средствами при движении таких транспортных средств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по автомобильным дорогам общего пользования местного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 xml:space="preserve">значения </w:t>
      </w:r>
      <w:r w:rsidR="00240CF1" w:rsidRPr="00240CF1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 xml:space="preserve">, от превышения допустимой </w:t>
      </w:r>
    </w:p>
    <w:p w:rsidR="003012AF" w:rsidRPr="003012AF" w:rsidRDefault="003012AF" w:rsidP="00B32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для автомобильной дороги массы транспортного средства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B32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>(рублей на 100 км)</w:t>
      </w:r>
    </w:p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6189"/>
      </w:tblGrid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Размер вреда при превышении фактической массы транспортного средства над допустимой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свыше 2 до 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7624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7735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7858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7981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8105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8228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8351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8475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10 (включительно) до 11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8598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8722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8845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8968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9092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9215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9338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9462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9585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9708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9832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9955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10079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10202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10325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10449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10572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10695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10819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10942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11065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11189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11312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11436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11559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11682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11806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11929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lastRenderedPageBreak/>
              <w:t>от 38 (включительно) до 39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12052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12176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12299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12422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12546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12669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12793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12916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13039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13163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13286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13409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13533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13656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13779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13903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14026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14150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14273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14396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14520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14643</w:t>
            </w:r>
          </w:p>
        </w:tc>
      </w:tr>
      <w:tr w:rsidR="003012AF" w:rsidRPr="003012AF" w:rsidTr="003012A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AF" w:rsidRPr="003012AF" w:rsidRDefault="003012AF" w:rsidP="00B3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2AF">
              <w:rPr>
                <w:rFonts w:ascii="Times New Roman" w:hAnsi="Times New Roman"/>
                <w:sz w:val="28"/>
                <w:szCs w:val="28"/>
              </w:rPr>
              <w:t>рассчитывается по формулам, приведенным в Методике</w:t>
            </w:r>
          </w:p>
        </w:tc>
      </w:tr>
    </w:tbl>
    <w:p w:rsidR="003012AF" w:rsidRPr="003012AF" w:rsidRDefault="003012AF" w:rsidP="00B32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2AF" w:rsidRPr="003012AF" w:rsidRDefault="003012AF" w:rsidP="00240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2AF">
        <w:rPr>
          <w:rFonts w:ascii="Times New Roman" w:hAnsi="Times New Roman"/>
          <w:sz w:val="28"/>
          <w:szCs w:val="28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r w:rsidR="00240CF1" w:rsidRPr="00240CF1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3012AF">
        <w:rPr>
          <w:rFonts w:ascii="Times New Roman" w:hAnsi="Times New Roman"/>
          <w:sz w:val="28"/>
          <w:szCs w:val="28"/>
        </w:rPr>
        <w:t xml:space="preserve">, от превышения допустимой для автомобильной дороги массы транспортного средства определяется в соответствии с </w:t>
      </w:r>
      <w:hyperlink r:id="rId12" w:history="1">
        <w:r w:rsidRPr="003012A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Методикой</w:t>
        </w:r>
      </w:hyperlink>
      <w:r w:rsidRPr="003012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3012AF" w:rsidRPr="003012AF" w:rsidSect="005C41F0">
      <w:pgSz w:w="11906" w:h="16838" w:code="9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D00"/>
    <w:multiLevelType w:val="multilevel"/>
    <w:tmpl w:val="FD76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345312"/>
    <w:multiLevelType w:val="multilevel"/>
    <w:tmpl w:val="233A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  <w:sz w:val="22"/>
      </w:rPr>
    </w:lvl>
  </w:abstractNum>
  <w:abstractNum w:abstractNumId="2">
    <w:nsid w:val="24337872"/>
    <w:multiLevelType w:val="hybridMultilevel"/>
    <w:tmpl w:val="0BE4A78C"/>
    <w:lvl w:ilvl="0" w:tplc="0C78A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C5A55"/>
    <w:multiLevelType w:val="hybridMultilevel"/>
    <w:tmpl w:val="71A079E4"/>
    <w:lvl w:ilvl="0" w:tplc="E7FC5C62">
      <w:start w:val="1"/>
      <w:numFmt w:val="decimal"/>
      <w:lvlText w:val="%1)"/>
      <w:lvlJc w:val="left"/>
      <w:pPr>
        <w:ind w:left="36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A543BD"/>
    <w:multiLevelType w:val="multilevel"/>
    <w:tmpl w:val="352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E406B"/>
    <w:multiLevelType w:val="hybridMultilevel"/>
    <w:tmpl w:val="4F8E8486"/>
    <w:lvl w:ilvl="0" w:tplc="A6046B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C4DA6"/>
    <w:multiLevelType w:val="hybridMultilevel"/>
    <w:tmpl w:val="D6F8A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3C9A"/>
    <w:multiLevelType w:val="multilevel"/>
    <w:tmpl w:val="E9BA46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1800"/>
      </w:pPr>
      <w:rPr>
        <w:rFonts w:hint="default"/>
      </w:rPr>
    </w:lvl>
  </w:abstractNum>
  <w:abstractNum w:abstractNumId="8">
    <w:nsid w:val="63335F4D"/>
    <w:multiLevelType w:val="hybridMultilevel"/>
    <w:tmpl w:val="239461D2"/>
    <w:lvl w:ilvl="0" w:tplc="EAA8C2E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F448CD"/>
    <w:multiLevelType w:val="hybridMultilevel"/>
    <w:tmpl w:val="C068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148B9"/>
    <w:multiLevelType w:val="hybridMultilevel"/>
    <w:tmpl w:val="EF680E6C"/>
    <w:lvl w:ilvl="0" w:tplc="E9946374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2458E6"/>
    <w:multiLevelType w:val="hybridMultilevel"/>
    <w:tmpl w:val="9B2C9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14"/>
    <w:rsid w:val="000005C1"/>
    <w:rsid w:val="000006C5"/>
    <w:rsid w:val="000208FB"/>
    <w:rsid w:val="00030A14"/>
    <w:rsid w:val="0003135A"/>
    <w:rsid w:val="00033987"/>
    <w:rsid w:val="0005323E"/>
    <w:rsid w:val="00060D3E"/>
    <w:rsid w:val="0007263D"/>
    <w:rsid w:val="0008061D"/>
    <w:rsid w:val="0009290D"/>
    <w:rsid w:val="000929AB"/>
    <w:rsid w:val="000A5196"/>
    <w:rsid w:val="000B2769"/>
    <w:rsid w:val="000B3B37"/>
    <w:rsid w:val="000C0738"/>
    <w:rsid w:val="000C62AC"/>
    <w:rsid w:val="000D78CF"/>
    <w:rsid w:val="000E22F6"/>
    <w:rsid w:val="000E51F1"/>
    <w:rsid w:val="000F630C"/>
    <w:rsid w:val="00101A3A"/>
    <w:rsid w:val="00105261"/>
    <w:rsid w:val="00107E2A"/>
    <w:rsid w:val="00114246"/>
    <w:rsid w:val="00135906"/>
    <w:rsid w:val="00155290"/>
    <w:rsid w:val="00161AEF"/>
    <w:rsid w:val="00171EF2"/>
    <w:rsid w:val="001726CC"/>
    <w:rsid w:val="00177E28"/>
    <w:rsid w:val="001B076F"/>
    <w:rsid w:val="001C3E95"/>
    <w:rsid w:val="001C5E1B"/>
    <w:rsid w:val="001F23EA"/>
    <w:rsid w:val="001F28C2"/>
    <w:rsid w:val="001F5936"/>
    <w:rsid w:val="002009DD"/>
    <w:rsid w:val="00225950"/>
    <w:rsid w:val="0023131E"/>
    <w:rsid w:val="00240CF1"/>
    <w:rsid w:val="002429B1"/>
    <w:rsid w:val="00266100"/>
    <w:rsid w:val="00276136"/>
    <w:rsid w:val="0028188D"/>
    <w:rsid w:val="00283D7E"/>
    <w:rsid w:val="00287C6F"/>
    <w:rsid w:val="0029081E"/>
    <w:rsid w:val="0029219B"/>
    <w:rsid w:val="002A47D3"/>
    <w:rsid w:val="002A502A"/>
    <w:rsid w:val="002A5948"/>
    <w:rsid w:val="002B0177"/>
    <w:rsid w:val="002B1395"/>
    <w:rsid w:val="002B2228"/>
    <w:rsid w:val="002B3BE3"/>
    <w:rsid w:val="002B4CCB"/>
    <w:rsid w:val="002C66B3"/>
    <w:rsid w:val="002D0306"/>
    <w:rsid w:val="002D4948"/>
    <w:rsid w:val="002E15E6"/>
    <w:rsid w:val="002E307C"/>
    <w:rsid w:val="002E30DE"/>
    <w:rsid w:val="002E624C"/>
    <w:rsid w:val="003002ED"/>
    <w:rsid w:val="003011AE"/>
    <w:rsid w:val="003012AF"/>
    <w:rsid w:val="00302C43"/>
    <w:rsid w:val="00305D73"/>
    <w:rsid w:val="003064C5"/>
    <w:rsid w:val="00307278"/>
    <w:rsid w:val="0031179B"/>
    <w:rsid w:val="00312FFB"/>
    <w:rsid w:val="00313D40"/>
    <w:rsid w:val="003170E4"/>
    <w:rsid w:val="00320D2E"/>
    <w:rsid w:val="003216B0"/>
    <w:rsid w:val="00325B4B"/>
    <w:rsid w:val="00332BDC"/>
    <w:rsid w:val="00343BA5"/>
    <w:rsid w:val="00346CCB"/>
    <w:rsid w:val="003470C1"/>
    <w:rsid w:val="0036254F"/>
    <w:rsid w:val="00363721"/>
    <w:rsid w:val="00364040"/>
    <w:rsid w:val="00364970"/>
    <w:rsid w:val="00364F16"/>
    <w:rsid w:val="0036712F"/>
    <w:rsid w:val="00373252"/>
    <w:rsid w:val="00376C1D"/>
    <w:rsid w:val="003827BD"/>
    <w:rsid w:val="003843D4"/>
    <w:rsid w:val="00387366"/>
    <w:rsid w:val="003959F5"/>
    <w:rsid w:val="003A3F4B"/>
    <w:rsid w:val="003C3828"/>
    <w:rsid w:val="003C71F3"/>
    <w:rsid w:val="003D1E71"/>
    <w:rsid w:val="003D4614"/>
    <w:rsid w:val="003E6A44"/>
    <w:rsid w:val="00413E37"/>
    <w:rsid w:val="00422AFE"/>
    <w:rsid w:val="00425357"/>
    <w:rsid w:val="00437497"/>
    <w:rsid w:val="004375FC"/>
    <w:rsid w:val="00442BE2"/>
    <w:rsid w:val="00447A92"/>
    <w:rsid w:val="00470B51"/>
    <w:rsid w:val="00470BD2"/>
    <w:rsid w:val="00473365"/>
    <w:rsid w:val="004804D1"/>
    <w:rsid w:val="004807DA"/>
    <w:rsid w:val="004904B3"/>
    <w:rsid w:val="004A4CD4"/>
    <w:rsid w:val="004A4D7E"/>
    <w:rsid w:val="004B00A1"/>
    <w:rsid w:val="004B329A"/>
    <w:rsid w:val="004B42C9"/>
    <w:rsid w:val="004C2D1B"/>
    <w:rsid w:val="004D61B4"/>
    <w:rsid w:val="004D73B7"/>
    <w:rsid w:val="004D7BA7"/>
    <w:rsid w:val="00502C88"/>
    <w:rsid w:val="005109CA"/>
    <w:rsid w:val="00533B97"/>
    <w:rsid w:val="0054207E"/>
    <w:rsid w:val="0054253D"/>
    <w:rsid w:val="00547496"/>
    <w:rsid w:val="0056087C"/>
    <w:rsid w:val="00560CFE"/>
    <w:rsid w:val="0056115C"/>
    <w:rsid w:val="005769A2"/>
    <w:rsid w:val="00576DA8"/>
    <w:rsid w:val="0057716E"/>
    <w:rsid w:val="00585DBF"/>
    <w:rsid w:val="005922FC"/>
    <w:rsid w:val="00593A75"/>
    <w:rsid w:val="00597A33"/>
    <w:rsid w:val="005A3870"/>
    <w:rsid w:val="005A472A"/>
    <w:rsid w:val="005A69DD"/>
    <w:rsid w:val="005A75F3"/>
    <w:rsid w:val="005B08B4"/>
    <w:rsid w:val="005B4897"/>
    <w:rsid w:val="005C322F"/>
    <w:rsid w:val="005C41F0"/>
    <w:rsid w:val="005C7B4B"/>
    <w:rsid w:val="005D3808"/>
    <w:rsid w:val="005E1DF6"/>
    <w:rsid w:val="005E2E31"/>
    <w:rsid w:val="005E76D1"/>
    <w:rsid w:val="005F6876"/>
    <w:rsid w:val="00601C32"/>
    <w:rsid w:val="006052C9"/>
    <w:rsid w:val="00606E46"/>
    <w:rsid w:val="00642ED7"/>
    <w:rsid w:val="00645D86"/>
    <w:rsid w:val="00667D11"/>
    <w:rsid w:val="006913E4"/>
    <w:rsid w:val="006963B9"/>
    <w:rsid w:val="006A23BF"/>
    <w:rsid w:val="006A4078"/>
    <w:rsid w:val="006B234C"/>
    <w:rsid w:val="006B5FB4"/>
    <w:rsid w:val="006C1C81"/>
    <w:rsid w:val="006C35AC"/>
    <w:rsid w:val="006C5A60"/>
    <w:rsid w:val="006D49F0"/>
    <w:rsid w:val="006E0392"/>
    <w:rsid w:val="006E0A8E"/>
    <w:rsid w:val="006F095A"/>
    <w:rsid w:val="00700738"/>
    <w:rsid w:val="007033E5"/>
    <w:rsid w:val="007074A8"/>
    <w:rsid w:val="0071578F"/>
    <w:rsid w:val="00730816"/>
    <w:rsid w:val="007318EB"/>
    <w:rsid w:val="00734FD0"/>
    <w:rsid w:val="00741362"/>
    <w:rsid w:val="00757096"/>
    <w:rsid w:val="00757C9C"/>
    <w:rsid w:val="00761564"/>
    <w:rsid w:val="00763D6B"/>
    <w:rsid w:val="007658B6"/>
    <w:rsid w:val="00774B7C"/>
    <w:rsid w:val="00783A1B"/>
    <w:rsid w:val="00790D24"/>
    <w:rsid w:val="00795D7B"/>
    <w:rsid w:val="00797EF9"/>
    <w:rsid w:val="007A30A4"/>
    <w:rsid w:val="007A3AFB"/>
    <w:rsid w:val="007A488E"/>
    <w:rsid w:val="007A6CAA"/>
    <w:rsid w:val="007A7365"/>
    <w:rsid w:val="007B4730"/>
    <w:rsid w:val="007D2A98"/>
    <w:rsid w:val="007D5CBC"/>
    <w:rsid w:val="007D6ED5"/>
    <w:rsid w:val="007E3A05"/>
    <w:rsid w:val="007E3E11"/>
    <w:rsid w:val="007F1787"/>
    <w:rsid w:val="00806CA7"/>
    <w:rsid w:val="00816438"/>
    <w:rsid w:val="00821ABE"/>
    <w:rsid w:val="00822451"/>
    <w:rsid w:val="00827EB6"/>
    <w:rsid w:val="00831946"/>
    <w:rsid w:val="00837060"/>
    <w:rsid w:val="0083716E"/>
    <w:rsid w:val="008407C1"/>
    <w:rsid w:val="008555F6"/>
    <w:rsid w:val="0085799A"/>
    <w:rsid w:val="00860EC3"/>
    <w:rsid w:val="008672C9"/>
    <w:rsid w:val="00877B98"/>
    <w:rsid w:val="00880423"/>
    <w:rsid w:val="00882815"/>
    <w:rsid w:val="00882E2F"/>
    <w:rsid w:val="00890A04"/>
    <w:rsid w:val="008A3401"/>
    <w:rsid w:val="008A5DC6"/>
    <w:rsid w:val="008B1832"/>
    <w:rsid w:val="008B71EB"/>
    <w:rsid w:val="008C59C7"/>
    <w:rsid w:val="008C7DF0"/>
    <w:rsid w:val="008D496E"/>
    <w:rsid w:val="008D74E5"/>
    <w:rsid w:val="008F5380"/>
    <w:rsid w:val="008F6961"/>
    <w:rsid w:val="00901106"/>
    <w:rsid w:val="00901637"/>
    <w:rsid w:val="00902D7E"/>
    <w:rsid w:val="0092396E"/>
    <w:rsid w:val="00930EE1"/>
    <w:rsid w:val="00931BB6"/>
    <w:rsid w:val="00946EED"/>
    <w:rsid w:val="009476EC"/>
    <w:rsid w:val="009530C1"/>
    <w:rsid w:val="00970C47"/>
    <w:rsid w:val="00974C00"/>
    <w:rsid w:val="00977A24"/>
    <w:rsid w:val="0098664E"/>
    <w:rsid w:val="009916AD"/>
    <w:rsid w:val="00991C81"/>
    <w:rsid w:val="009A1608"/>
    <w:rsid w:val="009A538A"/>
    <w:rsid w:val="009A77B9"/>
    <w:rsid w:val="009B0D73"/>
    <w:rsid w:val="009D519B"/>
    <w:rsid w:val="009D5FBD"/>
    <w:rsid w:val="009E2DF8"/>
    <w:rsid w:val="009E4019"/>
    <w:rsid w:val="00A00508"/>
    <w:rsid w:val="00A0602E"/>
    <w:rsid w:val="00A10CDB"/>
    <w:rsid w:val="00A12CBB"/>
    <w:rsid w:val="00A14314"/>
    <w:rsid w:val="00A1663B"/>
    <w:rsid w:val="00A265C1"/>
    <w:rsid w:val="00A307DC"/>
    <w:rsid w:val="00A35B8B"/>
    <w:rsid w:val="00A45D89"/>
    <w:rsid w:val="00A6729F"/>
    <w:rsid w:val="00A7082A"/>
    <w:rsid w:val="00A709F8"/>
    <w:rsid w:val="00A72932"/>
    <w:rsid w:val="00A80C15"/>
    <w:rsid w:val="00A80E18"/>
    <w:rsid w:val="00A869F7"/>
    <w:rsid w:val="00A914DA"/>
    <w:rsid w:val="00A97F02"/>
    <w:rsid w:val="00AB0D81"/>
    <w:rsid w:val="00AB1B9E"/>
    <w:rsid w:val="00AB30BB"/>
    <w:rsid w:val="00AC6940"/>
    <w:rsid w:val="00AD167E"/>
    <w:rsid w:val="00AE0B33"/>
    <w:rsid w:val="00B105FB"/>
    <w:rsid w:val="00B1733E"/>
    <w:rsid w:val="00B26991"/>
    <w:rsid w:val="00B305A1"/>
    <w:rsid w:val="00B32DB0"/>
    <w:rsid w:val="00B55566"/>
    <w:rsid w:val="00B60F69"/>
    <w:rsid w:val="00B66DA7"/>
    <w:rsid w:val="00B6766F"/>
    <w:rsid w:val="00B84129"/>
    <w:rsid w:val="00B84635"/>
    <w:rsid w:val="00B84728"/>
    <w:rsid w:val="00B903EA"/>
    <w:rsid w:val="00B929F2"/>
    <w:rsid w:val="00B95CD1"/>
    <w:rsid w:val="00BB7104"/>
    <w:rsid w:val="00BC6A85"/>
    <w:rsid w:val="00BE78A5"/>
    <w:rsid w:val="00BE7F8B"/>
    <w:rsid w:val="00BF7146"/>
    <w:rsid w:val="00C00023"/>
    <w:rsid w:val="00C0052E"/>
    <w:rsid w:val="00C03F45"/>
    <w:rsid w:val="00C12FDB"/>
    <w:rsid w:val="00C1412D"/>
    <w:rsid w:val="00C20FA5"/>
    <w:rsid w:val="00C22596"/>
    <w:rsid w:val="00C33658"/>
    <w:rsid w:val="00C344B2"/>
    <w:rsid w:val="00C35E43"/>
    <w:rsid w:val="00C44496"/>
    <w:rsid w:val="00C560F2"/>
    <w:rsid w:val="00C6236B"/>
    <w:rsid w:val="00C733CE"/>
    <w:rsid w:val="00C81FF5"/>
    <w:rsid w:val="00C82941"/>
    <w:rsid w:val="00C837E2"/>
    <w:rsid w:val="00C842DA"/>
    <w:rsid w:val="00CA0B95"/>
    <w:rsid w:val="00CA62A0"/>
    <w:rsid w:val="00CB02F1"/>
    <w:rsid w:val="00CB1F93"/>
    <w:rsid w:val="00CC5AC1"/>
    <w:rsid w:val="00CE00BB"/>
    <w:rsid w:val="00CE2D03"/>
    <w:rsid w:val="00CF0713"/>
    <w:rsid w:val="00CF16F5"/>
    <w:rsid w:val="00CF3ED6"/>
    <w:rsid w:val="00D0385B"/>
    <w:rsid w:val="00D14877"/>
    <w:rsid w:val="00D1622E"/>
    <w:rsid w:val="00D238B5"/>
    <w:rsid w:val="00D35A5E"/>
    <w:rsid w:val="00D45404"/>
    <w:rsid w:val="00D800A9"/>
    <w:rsid w:val="00D81472"/>
    <w:rsid w:val="00D81980"/>
    <w:rsid w:val="00D92FFA"/>
    <w:rsid w:val="00DB0D54"/>
    <w:rsid w:val="00DB4CB5"/>
    <w:rsid w:val="00DC06C7"/>
    <w:rsid w:val="00DC6531"/>
    <w:rsid w:val="00DC7024"/>
    <w:rsid w:val="00DC7D2C"/>
    <w:rsid w:val="00DE24D9"/>
    <w:rsid w:val="00DE5FF4"/>
    <w:rsid w:val="00DE7BB4"/>
    <w:rsid w:val="00DF6CF5"/>
    <w:rsid w:val="00E05DCF"/>
    <w:rsid w:val="00E07E95"/>
    <w:rsid w:val="00E100E1"/>
    <w:rsid w:val="00E122FE"/>
    <w:rsid w:val="00E20A95"/>
    <w:rsid w:val="00E213A8"/>
    <w:rsid w:val="00E31520"/>
    <w:rsid w:val="00E33959"/>
    <w:rsid w:val="00E33EE5"/>
    <w:rsid w:val="00E4586A"/>
    <w:rsid w:val="00E509E2"/>
    <w:rsid w:val="00E56DF8"/>
    <w:rsid w:val="00E67FE5"/>
    <w:rsid w:val="00E704AD"/>
    <w:rsid w:val="00E8429D"/>
    <w:rsid w:val="00E944C9"/>
    <w:rsid w:val="00EB38CF"/>
    <w:rsid w:val="00EC199F"/>
    <w:rsid w:val="00EC68F2"/>
    <w:rsid w:val="00EC7A19"/>
    <w:rsid w:val="00ED0930"/>
    <w:rsid w:val="00EE39F7"/>
    <w:rsid w:val="00F05338"/>
    <w:rsid w:val="00F05EF3"/>
    <w:rsid w:val="00F14722"/>
    <w:rsid w:val="00F159F9"/>
    <w:rsid w:val="00F232B8"/>
    <w:rsid w:val="00F349A8"/>
    <w:rsid w:val="00F35161"/>
    <w:rsid w:val="00F355AC"/>
    <w:rsid w:val="00F4544C"/>
    <w:rsid w:val="00F55A9A"/>
    <w:rsid w:val="00F650F3"/>
    <w:rsid w:val="00F67EFD"/>
    <w:rsid w:val="00F75553"/>
    <w:rsid w:val="00F7602F"/>
    <w:rsid w:val="00F807E0"/>
    <w:rsid w:val="00F85C89"/>
    <w:rsid w:val="00F86BFD"/>
    <w:rsid w:val="00F94B39"/>
    <w:rsid w:val="00F96F7B"/>
    <w:rsid w:val="00FA287B"/>
    <w:rsid w:val="00FA309C"/>
    <w:rsid w:val="00FA413A"/>
    <w:rsid w:val="00FC3CB5"/>
    <w:rsid w:val="00FC3D73"/>
    <w:rsid w:val="00FC6402"/>
    <w:rsid w:val="00FD1916"/>
    <w:rsid w:val="00FD5CD6"/>
    <w:rsid w:val="00FF2D27"/>
    <w:rsid w:val="00FF49F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4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0A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link w:val="20"/>
    <w:qFormat/>
    <w:rsid w:val="00030A1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kern w:val="1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1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30A14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30A4"/>
    <w:rPr>
      <w:rFonts w:ascii="Cambria" w:eastAsia="Times New Roman" w:hAnsi="Cambria" w:cs="Times New Roman"/>
    </w:rPr>
  </w:style>
  <w:style w:type="paragraph" w:customStyle="1" w:styleId="ConsPlusNormal">
    <w:name w:val="ConsPlusNormal"/>
    <w:link w:val="ConsPlusNormal0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9081E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rsid w:val="00030A1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14"/>
  </w:style>
  <w:style w:type="paragraph" w:customStyle="1" w:styleId="tekstob">
    <w:name w:val="tekstob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0A14"/>
    <w:pPr>
      <w:ind w:left="720"/>
      <w:contextualSpacing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030A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30A14"/>
  </w:style>
  <w:style w:type="table" w:styleId="a7">
    <w:name w:val="Table Grid"/>
    <w:basedOn w:val="a1"/>
    <w:uiPriority w:val="59"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14"/>
    <w:rPr>
      <w:rFonts w:ascii="Tahoma" w:eastAsia="Calibri" w:hAnsi="Tahoma" w:cs="Tahoma"/>
      <w:sz w:val="16"/>
      <w:szCs w:val="16"/>
    </w:rPr>
  </w:style>
  <w:style w:type="paragraph" w:customStyle="1" w:styleId="ConsPlusDocList">
    <w:name w:val="ConsPlusDocList"/>
    <w:next w:val="a"/>
    <w:rsid w:val="0029081E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formattexttopleveltext">
    <w:name w:val="formattext topleveltext"/>
    <w:basedOn w:val="a"/>
    <w:rsid w:val="006B2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4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0A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link w:val="20"/>
    <w:qFormat/>
    <w:rsid w:val="00030A1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kern w:val="1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1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30A14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30A4"/>
    <w:rPr>
      <w:rFonts w:ascii="Cambria" w:eastAsia="Times New Roman" w:hAnsi="Cambria" w:cs="Times New Roman"/>
    </w:rPr>
  </w:style>
  <w:style w:type="paragraph" w:customStyle="1" w:styleId="ConsPlusNormal">
    <w:name w:val="ConsPlusNormal"/>
    <w:link w:val="ConsPlusNormal0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9081E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rsid w:val="00030A1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14"/>
  </w:style>
  <w:style w:type="paragraph" w:customStyle="1" w:styleId="tekstob">
    <w:name w:val="tekstob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0A14"/>
    <w:pPr>
      <w:ind w:left="720"/>
      <w:contextualSpacing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030A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30A14"/>
  </w:style>
  <w:style w:type="table" w:styleId="a7">
    <w:name w:val="Table Grid"/>
    <w:basedOn w:val="a1"/>
    <w:uiPriority w:val="59"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14"/>
    <w:rPr>
      <w:rFonts w:ascii="Tahoma" w:eastAsia="Calibri" w:hAnsi="Tahoma" w:cs="Tahoma"/>
      <w:sz w:val="16"/>
      <w:szCs w:val="16"/>
    </w:rPr>
  </w:style>
  <w:style w:type="paragraph" w:customStyle="1" w:styleId="ConsPlusDocList">
    <w:name w:val="ConsPlusDocList"/>
    <w:next w:val="a"/>
    <w:rsid w:val="0029081E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formattexttopleveltext">
    <w:name w:val="formattext topleveltext"/>
    <w:basedOn w:val="a"/>
    <w:rsid w:val="006B2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BB56E16FB058AB5ADBE2D41E7E12278715EBBEF54C9A17134B96C66B4A5787635CCDF96D95C7475639Dz7M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4E9DC3BF673AB744658FE83BAFE703FEE364D07E790716431932E7437FFF943812798793DC13759D3F8AE619A103AE3E95EC4C5E817AB6BM0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E9DC3BF673AB744658FE83BAFE703FEE364D07E790716431932E7437FFF943812798793DC13759D3F8AE619A103AE3E95EC4C5E817AB6BM0qC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E9DC3BF673AB744658FE83BAFE703FEE364D07E790716431932E7437FFF943812798793DC13759D3F8AE619A103AE3E95EC4C5E817AB6BM0q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E9DC3BF673AB744658FE83BAFE703FEE364D07E790716431932E7437FFF943812798793DC13759D3F8AE619A103AE3E95EC4C5E817AB6BM0q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3070E-EE0E-4725-9A20-09AFAC31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zam_kumi</dc:creator>
  <cp:lastModifiedBy>Максимова</cp:lastModifiedBy>
  <cp:revision>2</cp:revision>
  <cp:lastPrinted>2024-05-13T04:57:00Z</cp:lastPrinted>
  <dcterms:created xsi:type="dcterms:W3CDTF">2024-05-13T04:57:00Z</dcterms:created>
  <dcterms:modified xsi:type="dcterms:W3CDTF">2024-05-13T04:57:00Z</dcterms:modified>
</cp:coreProperties>
</file>